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1650EA">
      <w:pPr>
        <w:pStyle w:val="2"/>
        <w:widowControl/>
        <w:spacing w:line="360" w:lineRule="auto"/>
        <w:jc w:val="left"/>
        <w:outlineLvl w:val="0"/>
        <w:rPr>
          <w:rFonts w:hint="default" w:ascii="宋体" w:hAnsi="宋体" w:eastAsia="宋体" w:cs="宋体"/>
          <w:b w:val="0"/>
          <w:bCs w:val="0"/>
          <w:kern w:val="2"/>
          <w:sz w:val="21"/>
          <w:szCs w:val="21"/>
          <w:lang w:val="en-US" w:eastAsia="zh-CN" w:bidi="ar"/>
        </w:rPr>
      </w:pPr>
      <w:bookmarkStart w:id="0" w:name="_Toc1143"/>
      <w:r>
        <w:rPr>
          <w:rFonts w:hint="eastAsia" w:ascii="宋体" w:hAnsi="宋体" w:cs="宋体"/>
          <w:b w:val="0"/>
          <w:bCs w:val="0"/>
          <w:kern w:val="2"/>
          <w:sz w:val="21"/>
          <w:szCs w:val="21"/>
          <w:lang w:val="en-US" w:eastAsia="zh-CN" w:bidi="ar"/>
        </w:rPr>
        <w:t>附件2</w:t>
      </w:r>
    </w:p>
    <w:p w14:paraId="2FCFC589">
      <w:pPr>
        <w:pStyle w:val="2"/>
        <w:widowControl/>
        <w:spacing w:line="360" w:lineRule="auto"/>
        <w:jc w:val="center"/>
        <w:outlineLvl w:val="0"/>
        <w:rPr>
          <w:rFonts w:hint="eastAsia" w:ascii="宋体" w:hAnsi="宋体" w:eastAsia="宋体" w:cs="宋体"/>
          <w:b/>
          <w:bCs w:val="0"/>
          <w:kern w:val="2"/>
          <w:sz w:val="32"/>
          <w:szCs w:val="32"/>
        </w:rPr>
      </w:pPr>
      <w:r>
        <w:rPr>
          <w:rFonts w:hint="eastAsia" w:ascii="宋体" w:hAnsi="宋体" w:eastAsia="宋体" w:cs="宋体"/>
          <w:b/>
          <w:bCs w:val="0"/>
          <w:kern w:val="2"/>
          <w:sz w:val="32"/>
          <w:szCs w:val="32"/>
        </w:rPr>
        <w:t>智能化成本核算与管理平台</w:t>
      </w:r>
      <w:bookmarkEnd w:id="0"/>
    </w:p>
    <w:p w14:paraId="019499B8">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b/>
          <w:bCs/>
          <w:kern w:val="2"/>
          <w:sz w:val="21"/>
          <w:szCs w:val="21"/>
        </w:rPr>
      </w:pPr>
      <w:r>
        <w:rPr>
          <w:rFonts w:hint="eastAsia" w:ascii="宋体" w:hAnsi="宋体" w:eastAsia="宋体" w:cs="宋体"/>
          <w:b/>
          <w:bCs/>
          <w:kern w:val="2"/>
          <w:sz w:val="21"/>
          <w:szCs w:val="21"/>
          <w:lang w:val="en-US" w:eastAsia="zh-CN" w:bidi="ar"/>
        </w:rPr>
        <w:t>（一）技术参数</w:t>
      </w:r>
    </w:p>
    <w:p w14:paraId="6FBCA01B">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1. 软件采用B/S架构，基于公有云与私有云混合模式，人工智能与会计的融合，打造智慧财务云生态；</w:t>
      </w:r>
    </w:p>
    <w:p w14:paraId="31B2C454">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 智能化成本核算与管理平台包括任务中心、信息中心、业务中心、数据中心、报表中心、智能成本核算、智能成本管理等7大模块：</w:t>
      </w:r>
    </w:p>
    <w:p w14:paraId="34095F5F">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2.1 任务中心提供任务查看功能，支持两种任务模式，</w:t>
      </w:r>
      <w:bookmarkStart w:id="1" w:name="_GoBack"/>
      <w:bookmarkEnd w:id="1"/>
      <w:r>
        <w:rPr>
          <w:rFonts w:hint="eastAsia" w:ascii="宋体" w:hAnsi="宋体" w:eastAsia="宋体" w:cs="宋体"/>
          <w:kern w:val="2"/>
          <w:sz w:val="21"/>
          <w:szCs w:val="21"/>
          <w:lang w:val="en-US" w:eastAsia="zh-CN" w:bidi="ar"/>
        </w:rPr>
        <w:t>即任务按日期序时展开模式、全部任务同步展开模式；</w:t>
      </w:r>
    </w:p>
    <w:p w14:paraId="66D54D46">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2.2 信息中心提供信息卡片查询功能，用户可从多个层次、多个角度阅读企业信息资料，例如企业注册信息、主要会计政策、主要税收政策、企业组织架构、员工信息、产品信息、原材料信息、资产信息、仓库信息等等企业生产经营资料；</w:t>
      </w:r>
    </w:p>
    <w:p w14:paraId="18DE4C4B">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2.3 业务中心提供生产计划、去领料、去入库、单据核算以及单据查询五个功能：</w:t>
      </w:r>
    </w:p>
    <w:p w14:paraId="7F9DD6DC">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2.3.1 生产计划支持新增、修改、删除、查询等功能，可以根据案例背景资料，开展新增生产计划、修改生产计划、删除生产计划、查询生产计划等工作；</w:t>
      </w:r>
    </w:p>
    <w:p w14:paraId="6771CD0C">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2.3.2 去领料提供业务选择功能、领料单生成功能，可进行生产领料业务的操作；</w:t>
      </w:r>
    </w:p>
    <w:p w14:paraId="7AC9E8B4">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2.3.3 去入库提供业务选择功能、入库单生成功能，可进行采购入库业务、产品入库业务的操作；</w:t>
      </w:r>
    </w:p>
    <w:p w14:paraId="23D89B41">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2.3.4 单据核算支持影像查询、生成凭证、批量生成凭证；</w:t>
      </w:r>
    </w:p>
    <w:p w14:paraId="5ED593CE">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2.3.5 单据查询支持影像查询，可以查看单据的影像；</w:t>
      </w:r>
    </w:p>
    <w:p w14:paraId="7D5E5708">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2.4 数据中心提供领料统计、工时统计、产品统计、库存查询、工资查询、固定资产查询以及无形资产查询七个功能：</w:t>
      </w:r>
    </w:p>
    <w:p w14:paraId="17AE984D">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2.4.1 领料统计：对生产领料情况进行查询；</w:t>
      </w:r>
      <w:r>
        <w:rPr>
          <w:rFonts w:hint="eastAsia" w:ascii="宋体" w:hAnsi="宋体" w:eastAsia="宋体" w:cs="宋体"/>
          <w:kern w:val="2"/>
          <w:sz w:val="21"/>
          <w:szCs w:val="21"/>
          <w:lang w:val="en-US" w:eastAsia="zh-CN" w:bidi="ar"/>
        </w:rPr>
        <w:tab/>
      </w:r>
    </w:p>
    <w:p w14:paraId="3F422186">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2.4.2 工时统计：对生产工时、机器工时、人工工时的统计情况进行查询；</w:t>
      </w:r>
    </w:p>
    <w:p w14:paraId="79D492B5">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2.4.3 产品统计：对完工产品、在产品、不良品的统计情况进行查询；</w:t>
      </w:r>
    </w:p>
    <w:p w14:paraId="6929323D">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2.4.4 库存查询：对产品库存变动情况进行查询、导出，出库单价计算方法提供三种计价模式即先进先出、移动加权平均、月末一次加权平均；</w:t>
      </w:r>
    </w:p>
    <w:p w14:paraId="15CB15C6">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2.4.5 工资查询：对员工工资明细情况进行查询、导出；</w:t>
      </w:r>
    </w:p>
    <w:p w14:paraId="4FDBED76">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2.4.6 固定资产查询：对固定资产情况进行查询、下载折旧表；</w:t>
      </w:r>
    </w:p>
    <w:p w14:paraId="2B48D7B2">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2.4.7 无形资产查询：对无形资产情况进行查询、下载摊销表；</w:t>
      </w:r>
    </w:p>
    <w:p w14:paraId="5939E7BE">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2.5 报表中心提供成本报表填制与分析功能；</w:t>
      </w:r>
    </w:p>
    <w:p w14:paraId="07643138">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2.6 智能成本核算是智能化成本核算与管理平台的核心模块，提供了基础设置、影像管理、业务票据建模、费用归集建模、成本核算建模、凭证预处理、凭证列表、会计账簿等子模块：</w:t>
      </w:r>
    </w:p>
    <w:p w14:paraId="6C5C0961">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2.6.1 基础设置：</w:t>
      </w:r>
    </w:p>
    <w:p w14:paraId="15B0C7DE">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2.6.1.1账套管理：支持新增账套、复制业务建模答案功能；</w:t>
      </w:r>
    </w:p>
    <w:p w14:paraId="35A01082">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2.6.1.2会计科目：支持新增科目、添加子科目功能；</w:t>
      </w:r>
    </w:p>
    <w:p w14:paraId="37D97FB5">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2.6.1.3辅助核算：支持新增功能；</w:t>
      </w:r>
    </w:p>
    <w:p w14:paraId="7092AD11">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2.6.1.4科目期初；导入、导出、保存、试算平衡功能；</w:t>
      </w:r>
    </w:p>
    <w:p w14:paraId="49CF019B">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2.6.2 影像管理：包含影像扫描和影像数据功能；</w:t>
      </w:r>
    </w:p>
    <w:p w14:paraId="779435E3">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2.6.2.1 影像扫描：进行影像识别，根据业务票据建模完成的模板，可进行影像审核并记账；</w:t>
      </w:r>
    </w:p>
    <w:p w14:paraId="021BB214">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2.6.2.2 影像数据：查看相关影像数据；</w:t>
      </w:r>
    </w:p>
    <w:p w14:paraId="78EB8E09">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2.6.3 业务票据建模：包含票据类别、场景类别、场景配置、凭证模板、科目匹配等设置，对于票据、场景类别及场景配置支持新增大类、新增细类及新增筛选匹配规则；凭证模板支持凭证头设置、分录设置、辅助核算设置及合并排序设置，其中分录设置包含科目设置、科目匹配类型、借贷方向、金额取值公式、取值匹配等设置；科目匹配支持根据票据相关信息匹配到对应的会计分录；同时还具有业务票据凭证异常提示，支持对异常票据进行修改处理后重新生成记账凭证；</w:t>
      </w:r>
    </w:p>
    <w:p w14:paraId="7E9E72A8">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2.6.4 费用归集建模：费用归集建模包含职工薪酬归集、固定资产折旧归集、无形资产摊销归集、当期费用归集、跨期费用归集等费用项目归集建模；提供数据汇总、凭证模板、生成凭证、数据重置等功能，其中数据汇总支持根据前置业务，自动汇总数据到费用分配表，凭证模板则根据费用分配表进行包括科目、借贷方向以及取值方向等模板项目的设置；</w:t>
      </w:r>
    </w:p>
    <w:p w14:paraId="2059C022">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2.6.5 成本核算建模功能：包含共同耗用材料归集与分配、直接人工归集与分配、辅助生产成本归集与分配、制造费用归集与分配、产品成本核算等成本项目建模，其中产品核算建模支持选择品种法、分批法、平行结转分步法、分项结转分步法、综合结转分步法等方法进行计算方法配置；提供参数配置、智能计算、凭证模板、生成凭证、数据重置功能；其中参数配置包含设置待分配金额记账科目、科目类型以及选择分配方法，分配标准公式自动生成；根据参数配置信息系统智能计算出对应成本分配表；凭证模板则根据成本分配表进行包括科目、借贷方向以及取值方向等模板项目的设置；</w:t>
      </w:r>
    </w:p>
    <w:p w14:paraId="7A592E20">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2.6.6 凭证预处理：</w:t>
      </w:r>
    </w:p>
    <w:p w14:paraId="31D7FA88">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2.6.6.1 业务票据凭证：支持筛选、删除、重新生成、审核并推送功能；</w:t>
      </w:r>
    </w:p>
    <w:p w14:paraId="3BD9C2EC">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2.6.6.2 成本核算凭证功能：支持筛选、删除、推送功能。</w:t>
      </w:r>
    </w:p>
    <w:p w14:paraId="7AB6893B">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2.6.7 凭证列表功能：支持筛选、删除、导出凭证、批量打印、凭证号排序功能；</w:t>
      </w:r>
    </w:p>
    <w:p w14:paraId="2EA2A080">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2.6.8 会计账簿功能：提供明细账、总账、科目余额表功能；</w:t>
      </w:r>
    </w:p>
    <w:p w14:paraId="6A72B60D">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2.7 智能成本管理提供变动成本法、标准成本法、作业成本法、目标成本法的管理表单编制和分析功能；</w:t>
      </w:r>
    </w:p>
    <w:p w14:paraId="0795142B">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3. 管理端：</w:t>
      </w:r>
    </w:p>
    <w:p w14:paraId="4696FE98">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3.1 教师管理功能：提供新增、修改和删除教师账号功能，可进行批量新增、批量授权、批量延期等批量操作；提供控制教师账号权限管理，包括课程管理、试卷管理、竞赛试卷管理等权限；提供修改教师账号角色的功能；提供设置教师账号状态功能，状态包括有效、过期、锁定；提供设置教师账号到期时间功能，可选定一个具体的时间点（年月日）；</w:t>
      </w:r>
    </w:p>
    <w:p w14:paraId="4EF360CB">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3.2 行政班级功能：提供新增、修改、删除和查找行政班的功能，支持行政班单个学生账号增加，也支持批量添加学生账号和Excel文件导入学生账号；提供根据用户名或者状态对学生信息进行增删改查功能，支持给学生设置有效、锁定、过期等多个状态，支持设置学生账号有效期（年月日）；提供行政班级教师授权功能，可授权其他教师选择行政班级中的学生开展教学班授课；</w:t>
      </w:r>
    </w:p>
    <w:p w14:paraId="01B5A715">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3.3 教学班级功能：提供新增、修改、删除和查找教学班级的功能；支持设置课程和带班老师；提供学生管理、教学管理、考试管理和统计分析功能；</w:t>
      </w:r>
    </w:p>
    <w:p w14:paraId="1B962012">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3.3.1 学生管理功能：提供新增、查询、移除学生等功能，提供批量移除功能；</w:t>
      </w:r>
    </w:p>
    <w:p w14:paraId="174C0672">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3.3.2 教学管理功能：提供成绩总览、章节明细、进度控制、签到管理等功能；提供搜索查询学生、导出学生成绩功能，支持详细查看学生各个章节完成情况、学习进度和分数，支持详细查看和导出学生学习报告；支持锁定、隐藏章节节点，支持隐藏题目答案和答题结果（勾选后，学生无法查看题目答案和答题结果），也支持隐藏题目答案但显示答题结果（勾选后，学生无法查看题目答案，但可以查看答题结果）；提供新增、搜索签到活动，支持设置签到开始时间和结束时间，可跟踪学生签到状态及具体签到时间，支持修改学生签到状态（正常、缺勤、迟到、早退、事假、病假）；</w:t>
      </w:r>
    </w:p>
    <w:p w14:paraId="3E760C96">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3.3.3 考试管理功能：提供新增考试功能，可设置考试名称、试卷选择、考试时间、成绩查看权限（无法查看、交卷后可看、结束后可看）、学生范围（全部学生、指定学生）、发布状态和考试描述；支持直接查看学生成绩（交卷状态、总分）、导出成绩、生成和下载班级考试总报告，支持查看和导出学生单人报告，可重置交卷；</w:t>
      </w:r>
    </w:p>
    <w:p w14:paraId="75576AD6">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3.3.4 成绩报告：支持生成班级所有学生的某个课程章节模块或某次考试的成绩报告，生成时具有进度条显示生成进度，生成完毕时进度条变成下载按钮，支持下载报告为PDF文档，支持单独查看每位学生的成绩报告及单独下载某位学生的成绩报告；</w:t>
      </w:r>
    </w:p>
    <w:p w14:paraId="0ACC3375">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3.3.5 统计分析：支持查看学生课程模块得分率统计图，统计图以条状图形式呈现，并支持按项目－模块－题型－题目多级查看，支持以不同的颜色显示不同的得分率区间，支持选择图例以单独显示某些指标信息；</w:t>
      </w:r>
    </w:p>
    <w:p w14:paraId="4B80C92D">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highlight w:val="yellow"/>
        </w:rPr>
      </w:pPr>
      <w:r>
        <w:rPr>
          <w:rFonts w:hint="eastAsia" w:ascii="宋体" w:hAnsi="宋体" w:eastAsia="宋体" w:cs="宋体"/>
          <w:kern w:val="2"/>
          <w:sz w:val="21"/>
          <w:szCs w:val="21"/>
          <w:lang w:val="en-US" w:eastAsia="zh-CN" w:bidi="ar"/>
        </w:rPr>
        <w:t>3.3.6 在线时长：支持查看学生的在线学习时间统计，包含首次登录时间、最后登录时间、在线总时长、今日在线时长、上次在线时长和在线状态等，并支持通过图表展示在线时长统计情况，图表以线形图形式呈现学生的在线总时长、今日在线时长、上次在线时长的信息，支持按不同维度排序，支持选择图例以单独显示某些指标信息，支持下载图表；</w:t>
      </w:r>
    </w:p>
    <w:p w14:paraId="7DE1F3D8">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3.4 公告管理功能：提供新增、修改和删除公告的功能，可指定公告的启用时间、截止时间、启用状态；公告内容支持普通文本模式和MarkDown模式；</w:t>
      </w:r>
    </w:p>
    <w:p w14:paraId="254AC12C">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3.5 日志记录功能：提供查看用户登录时间、退出时间等功能日志，可详细跟踪用户使用平台状态；</w:t>
      </w:r>
    </w:p>
    <w:p w14:paraId="17A84588">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3.6 课程管理：提供新增、查看、搜索课程功能，包括设置课程名称、课程类型、动态年、课程排序、课程描述、课程备注、LOGO引用或上传并使用；提供进入课程、模拟做题功能；</w:t>
      </w:r>
    </w:p>
    <w:p w14:paraId="1AF75051">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3.7 试卷管理功能：提供新增、查看、搜索试卷功能，包括设置试卷名称、关联产品、发布状态、开放状态、模式选择（普通模式、单题模式、案例模式、综合模式）、题目组合、题目乱序、排序、动态年和备注；查看试卷后提供题型汇总功能，可查看试卷内题目类型、题数和总分情况，可预览和查看题目；</w:t>
      </w:r>
    </w:p>
    <w:p w14:paraId="4D5A1888">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3.8 资源管理功能：提供新建资源库文件夹，整理资源数据功能，支持删除、移动、分享、上传、重命名等功能；</w:t>
      </w:r>
    </w:p>
    <w:p w14:paraId="46F18902">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3.9 统计分析：包含站点统计（管理员账号可查看）和教学统计（教师账号可查看）；</w:t>
      </w:r>
    </w:p>
    <w:p w14:paraId="77C8822E">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3.9.1 站点统计；汇总官方课程总数、官方微课总数、官方PPT总数、官方PDF总数、官方试卷总数、教师总数、学生总数、行政班总数、教学班总数；以动态图表的方式展示课程资源汇总、教师开课情况、年度课程学习人数汇总、在线人数统计（支持最近3小时、6小时区间切换）、学生新增人数；</w:t>
      </w:r>
    </w:p>
    <w:p w14:paraId="63E7AA48">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3.9.2 教学统计：汇总官方课程总数、官方微课总数、官方PPT总数、官方PDF总数、官方试卷总数、学生总数、行政班总数、教学班总数；以动态图表的方式展示课程资源汇总、学生新增人数、年度行政班人数汇总、年度教学班人数汇总；</w:t>
      </w:r>
    </w:p>
    <w:p w14:paraId="091E0AAB">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3.10 个人信息管理：</w:t>
      </w:r>
    </w:p>
    <w:p w14:paraId="23D4BA8C">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3.10.1 提供账号姓名、头像和密码等修改功能；</w:t>
      </w:r>
    </w:p>
    <w:p w14:paraId="0CF3E67C">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3.10.2 提供绑定手机号码的功能，用户可以将账号与手机号码绑定，绑定后可以通过手机登录平台；</w:t>
      </w:r>
    </w:p>
    <w:p w14:paraId="1A001062">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3.11 帮助工具：提供帮助手册、密码锁屏和QQ咨询调用功能，用户可选择会计内容咨询或平台技术咨询，自动调用QQ跳转会话框进行咨询；提供数据查询列显隐功能；</w:t>
      </w:r>
    </w:p>
    <w:p w14:paraId="34F4FD01">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4. 学生端功能：</w:t>
      </w:r>
    </w:p>
    <w:p w14:paraId="73FCBD69">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4.1 个人信息管理功能：</w:t>
      </w:r>
    </w:p>
    <w:p w14:paraId="5E9B926F">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4.1.1 提供账号姓名、密码等修改功能；</w:t>
      </w:r>
    </w:p>
    <w:p w14:paraId="0DEC621F">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4.1.2 系统云平台提供绑定手机号码的功能，用户可以将账号与手机号码绑定，绑定后可以通过手机号输入验证码登录平台，同时支持绑定微信及QQ登录平台；</w:t>
      </w:r>
    </w:p>
    <w:p w14:paraId="75C1C37C">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4.2 学习统计功能：提供学生在课程下的学习状况统计雷达图，具有两张雷达图并可交互，一张雷达图显示每个项目的总分、合格分和得分信息，点击任意一个项目，另外一张雷达图对应显示该项目下每个任务的总分、合格分和得分信息；同时可以控制选择雷达图只显示总分、得分、合格分任意一种或组合信息；主界面还具有显示每个项目的总分、得分和正确率的统计列表，点击关闭按钮可隐藏该统计列表；</w:t>
      </w:r>
    </w:p>
    <w:p w14:paraId="3D97240B">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4.3 章节进度功能：在平台主界面展开任一项目，该项目下的每个子任务都自带有学习进度条，进度条具有百分比数值以及不同的颜色来展示学习进度；</w:t>
      </w:r>
    </w:p>
    <w:p w14:paraId="6CC2823B">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4.4 收藏题目功能：提供收藏题目功能，可在收藏列表中查看所有收藏的题目，方便针对性地学习；</w:t>
      </w:r>
    </w:p>
    <w:p w14:paraId="5B76CAEB">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4.5 工具箱功能：提供普通计算器、科学计算器功能；提供金融计算器功能；</w:t>
      </w:r>
    </w:p>
    <w:p w14:paraId="5824ED8A">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4.6 嵌入式网页PPT功能：提供画笔标注功能，包括画笔、荧光笔、橡皮擦；提供上下翻页、单页单独打开功能；提供PPT导航、模糊搜索内容功能；提供场景对话交互功能；内置客观题，包括单选、多选、判断等题型，支持将PPT切换成PDF模式阅览；</w:t>
      </w:r>
    </w:p>
    <w:p w14:paraId="249B9483">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4.7 答题（试卷）报告功能：根据每个章节的课后练习或者试卷答题情况一一对应生成单独的答题报告或者试卷报告，报告中包含整份课后练习或整套试卷的总正确率以及每种题型的正确率统计图，包含课后练习或试卷的各类型题目的正确数、错误数、已做题目数、未做题目数和题目总数的统计表，可以查看学生具体答题信息、正确答案以及题目解析，并支持将答题报告及试卷报告导出为PDF文档；</w:t>
      </w:r>
    </w:p>
    <w:p w14:paraId="2ED873F2">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4.8 签到系统：内嵌签到模块，在指定时间内进行签到，在表格模式进行签到操作及查看签到情况及状态，在图形模式下统计签到记录情况；</w:t>
      </w:r>
    </w:p>
    <w:p w14:paraId="333B0127">
      <w:pPr>
        <w:keepNext w:val="0"/>
        <w:keepLines w:val="0"/>
        <w:widowControl w:val="0"/>
        <w:suppressLineNumbers w:val="0"/>
        <w:autoSpaceDE w:val="0"/>
        <w:autoSpaceDN/>
        <w:spacing w:before="0" w:beforeAutospacing="0" w:after="0" w:afterAutospacing="0" w:line="360" w:lineRule="auto"/>
        <w:ind w:left="0" w:right="0"/>
        <w:jc w:val="both"/>
        <w:rPr>
          <w:rFonts w:hint="eastAsia" w:ascii="Calibri" w:hAnsi="Calibri" w:eastAsia="宋体" w:cs="Times New Roman"/>
          <w:kern w:val="2"/>
          <w:sz w:val="21"/>
          <w:szCs w:val="21"/>
        </w:rPr>
      </w:pPr>
      <w:r>
        <w:rPr>
          <w:rFonts w:hint="eastAsia" w:ascii="宋体" w:hAnsi="宋体" w:eastAsia="宋体" w:cs="宋体"/>
          <w:kern w:val="2"/>
          <w:sz w:val="21"/>
          <w:szCs w:val="21"/>
          <w:lang w:val="en-US" w:eastAsia="zh-CN" w:bidi="ar"/>
        </w:rPr>
        <w:t>4.9 排行榜：内嵌排行榜模块，可以查看同班同学的总分得分情况，图形模式以柱状图进行显示总分得分情况；</w:t>
      </w:r>
    </w:p>
    <w:p w14:paraId="63899C5E">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5. 平台配套提供终端载体单机版，要求支持在无网络状态使用，内置以下功能模块：</w:t>
      </w:r>
    </w:p>
    <w:p w14:paraId="773B36FC">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5.1 互动财会游戏功能模块，满足以下要求：</w:t>
      </w:r>
    </w:p>
    <w:p w14:paraId="1BEA90F2">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5.1.1 要求游戏总数量不少于50个；要求游戏类型应该是多样性的，具有支持拖拉拽操作、具有闯关模式等典型的游戏特征（不是简单的单选、多选、判断类型）；要求游戏内容与财会专业知识点相关，需随机抽取至少5个不同的游戏展示，游戏内容举例：战略地图游戏：通过拖拉拽的形式完成战略地图绘制。企业经营沙盘游戏：通过小沙盘的形式，模拟一家企业一年的经营，并且包含资产负债表的动态展示。数电发票识别游戏：通过游戏的形式，让学生学习了解财务机器人发票识别的步骤与过程；</w:t>
      </w:r>
    </w:p>
    <w:p w14:paraId="10C1E47F">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5.1.2 自定义房间名称功能：设置游戏时间及次数限制，游戏开始时间及持续时间；</w:t>
      </w:r>
    </w:p>
    <w:p w14:paraId="74C9ABA9">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5.1.3 排行榜功能：支持竞赛比拼并提供排行，增加课堂趣味性，可重复进行游戏；</w:t>
      </w:r>
    </w:p>
    <w:p w14:paraId="09D9E9F1">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5.1.4 在线游戏互动功能：学生可通过手机扫描系统中的会计游戏二维码，实现在手机上进行随堂游戏的互动体验；</w:t>
      </w:r>
    </w:p>
    <w:p w14:paraId="279787AC">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5.2 微课制作功能模块，要求具有以下功能：</w:t>
      </w:r>
    </w:p>
    <w:p w14:paraId="7C5E1E72">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5.2.1 可直接导入PPT并保留PPT所有动画效果，生成视频微课；</w:t>
      </w:r>
    </w:p>
    <w:p w14:paraId="009B8117">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5.2.2 制作过程可自动录音，可合成至生成的视频微课中；</w:t>
      </w:r>
    </w:p>
    <w:p w14:paraId="7E82005E">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5.2.3 微课制作时支持两个摄像头切换录制，第一摄像头和第二摄像头可随时切换录制现场人像或现场展示资料，录制内容可合成至生成的视频微课中；</w:t>
      </w:r>
    </w:p>
    <w:p w14:paraId="4354A2FF">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5.2.4 微课制作过程中可随时板书，录制板书操作，并合成到生成的视频微课；</w:t>
      </w:r>
    </w:p>
    <w:p w14:paraId="0F830E93">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5.2.5 微课保存为视频时，可选择添加背景音乐，使制作的微课全程具有背景音乐效果，背景音乐提供多种选择；</w:t>
      </w:r>
    </w:p>
    <w:p w14:paraId="758F0C48">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6. 平台配套提供会计信息化账务处理手机APP，供学生移动学习体验会计信息化常见功能模块：</w:t>
      </w:r>
    </w:p>
    <w:p w14:paraId="327CB3F4">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6.1 初始设置：登录后可自定义创建账套，若已有账套，则直接进入角色登录界面；</w:t>
      </w:r>
    </w:p>
    <w:p w14:paraId="3CF73D74">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6.2 角色登录：提供四个岗位角色登录，支持网络版管理员针对实际情况分配角色登录权限；</w:t>
      </w:r>
    </w:p>
    <w:p w14:paraId="5ADB73B8">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6.3 登录首页：包含凭证列表、审核凭证、记账、期末结账、结转损益、财务报表、查询/修改、明细账、总账、科目余额表等十个子功能模块；</w:t>
      </w:r>
    </w:p>
    <w:p w14:paraId="19E5FB81">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7. 平台配套提供电子游戏沙盘：采用趣味小游戏的方式模拟财务共享推演，沙盘包含FSSC战略定位、建设模式设计、选址城市评估、职能调整、组织结构、人员测算、流程优化前提、流程职责切分、流程优化设计共9个关卡；游戏沙盘包含前情提要、集团背景、关卡任务资料、工具箱、自动判分、正确答案查看等功能，采用拖拽小旗、拖拽卡片、动态箭头指示等游戏互动操作方式完成沙盘推演；</w:t>
      </w:r>
    </w:p>
    <w:p w14:paraId="71DEE2E0">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b/>
          <w:bCs/>
          <w:kern w:val="2"/>
          <w:sz w:val="21"/>
          <w:szCs w:val="21"/>
        </w:rPr>
      </w:pPr>
      <w:r>
        <w:rPr>
          <w:rFonts w:hint="eastAsia" w:ascii="宋体" w:hAnsi="宋体" w:eastAsia="宋体" w:cs="宋体"/>
          <w:b/>
          <w:bCs/>
          <w:kern w:val="2"/>
          <w:sz w:val="21"/>
          <w:szCs w:val="21"/>
          <w:lang w:val="en-US" w:eastAsia="zh-CN" w:bidi="ar"/>
        </w:rPr>
        <w:t>（二）内容参数</w:t>
      </w:r>
    </w:p>
    <w:p w14:paraId="5D4F7074">
      <w:pPr>
        <w:keepNext w:val="0"/>
        <w:keepLines w:val="0"/>
        <w:widowControl w:val="0"/>
        <w:suppressLineNumbers w:val="0"/>
        <w:autoSpaceDE w:val="0"/>
        <w:autoSpaceDN/>
        <w:spacing w:before="0" w:beforeAutospacing="0" w:after="0" w:afterAutospacing="0" w:line="360" w:lineRule="auto"/>
        <w:ind w:left="0" w:leftChars="0" w:right="0" w:firstLine="0" w:firstLineChars="0"/>
        <w:jc w:val="both"/>
        <w:rPr>
          <w:rFonts w:hint="eastAsia" w:ascii="宋体" w:hAnsi="宋体" w:eastAsia="宋体" w:cs="宋体"/>
          <w:b w:val="0"/>
          <w:bCs w:val="0"/>
          <w:spacing w:val="-4"/>
          <w:kern w:val="2"/>
          <w:sz w:val="21"/>
          <w:szCs w:val="21"/>
        </w:rPr>
      </w:pPr>
      <w:r>
        <w:rPr>
          <w:rFonts w:hint="eastAsia" w:ascii="宋体" w:hAnsi="宋体" w:eastAsia="宋体" w:cs="宋体"/>
          <w:b w:val="0"/>
          <w:bCs w:val="0"/>
          <w:spacing w:val="-4"/>
          <w:kern w:val="2"/>
          <w:sz w:val="21"/>
          <w:szCs w:val="21"/>
          <w:lang w:val="en-US" w:eastAsia="zh-CN" w:bidi="ar"/>
        </w:rPr>
        <w:t>1. 智能成本核算</w:t>
      </w:r>
    </w:p>
    <w:p w14:paraId="655C63B1">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b w:val="0"/>
          <w:bCs w:val="0"/>
          <w:kern w:val="2"/>
          <w:sz w:val="21"/>
          <w:szCs w:val="21"/>
        </w:rPr>
      </w:pPr>
      <w:r>
        <w:rPr>
          <w:rFonts w:hint="eastAsia" w:ascii="宋体" w:hAnsi="宋体" w:eastAsia="宋体" w:cs="宋体"/>
          <w:b w:val="0"/>
          <w:bCs w:val="0"/>
          <w:kern w:val="2"/>
          <w:sz w:val="21"/>
          <w:szCs w:val="21"/>
          <w:lang w:val="en-US" w:eastAsia="zh-CN" w:bidi="ar"/>
        </w:rPr>
        <w:t>1.1 生产成本认知：走进生产型企业；生产成本认知；生产成本核算流程；案例应用 生产成本账户设计；</w:t>
      </w:r>
    </w:p>
    <w:p w14:paraId="40F64373">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b w:val="0"/>
          <w:bCs w:val="0"/>
          <w:kern w:val="2"/>
          <w:sz w:val="21"/>
          <w:szCs w:val="21"/>
        </w:rPr>
      </w:pPr>
      <w:r>
        <w:rPr>
          <w:rFonts w:hint="eastAsia" w:ascii="宋体" w:hAnsi="宋体" w:eastAsia="宋体" w:cs="宋体"/>
          <w:b w:val="0"/>
          <w:bCs w:val="0"/>
          <w:kern w:val="2"/>
          <w:sz w:val="21"/>
          <w:szCs w:val="21"/>
          <w:lang w:val="en-US" w:eastAsia="zh-CN" w:bidi="ar"/>
        </w:rPr>
        <w:t>1.2 生产计划与材料费用智能核算：生产计划认知；材料费用核算；案例应用 生产计划与材料费用智能核算；</w:t>
      </w:r>
    </w:p>
    <w:p w14:paraId="07F75683">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b w:val="0"/>
          <w:bCs w:val="0"/>
          <w:kern w:val="2"/>
          <w:sz w:val="21"/>
          <w:szCs w:val="21"/>
        </w:rPr>
      </w:pPr>
      <w:r>
        <w:rPr>
          <w:rFonts w:hint="eastAsia" w:ascii="宋体" w:hAnsi="宋体" w:eastAsia="宋体" w:cs="宋体"/>
          <w:b w:val="0"/>
          <w:bCs w:val="0"/>
          <w:kern w:val="2"/>
          <w:sz w:val="21"/>
          <w:szCs w:val="21"/>
          <w:lang w:val="en-US" w:eastAsia="zh-CN" w:bidi="ar"/>
        </w:rPr>
        <w:t>1.3  职工薪酬智能核算：计算职工薪酬费用； 职工薪酬费用的归集与分配；案例应用 职工薪酬智能核算；</w:t>
      </w:r>
    </w:p>
    <w:p w14:paraId="15144D95">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b w:val="0"/>
          <w:bCs w:val="0"/>
          <w:kern w:val="2"/>
          <w:sz w:val="21"/>
          <w:szCs w:val="21"/>
        </w:rPr>
      </w:pPr>
      <w:r>
        <w:rPr>
          <w:rFonts w:hint="eastAsia" w:ascii="宋体" w:hAnsi="宋体" w:eastAsia="宋体" w:cs="宋体"/>
          <w:b w:val="0"/>
          <w:bCs w:val="0"/>
          <w:kern w:val="2"/>
          <w:sz w:val="21"/>
          <w:szCs w:val="21"/>
          <w:lang w:val="en-US" w:eastAsia="zh-CN" w:bidi="ar"/>
        </w:rPr>
        <w:t>1.4 成本费用智能核算：日常费用核算；月末费用核算；案例应用 成本费用智能核算；</w:t>
      </w:r>
    </w:p>
    <w:p w14:paraId="54F5C325">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b w:val="0"/>
          <w:bCs w:val="0"/>
          <w:kern w:val="2"/>
          <w:sz w:val="21"/>
          <w:szCs w:val="21"/>
        </w:rPr>
      </w:pPr>
      <w:r>
        <w:rPr>
          <w:rFonts w:hint="eastAsia" w:ascii="宋体" w:hAnsi="宋体" w:eastAsia="宋体" w:cs="宋体"/>
          <w:b w:val="0"/>
          <w:bCs w:val="0"/>
          <w:kern w:val="2"/>
          <w:sz w:val="21"/>
          <w:szCs w:val="21"/>
          <w:lang w:val="en-US" w:eastAsia="zh-CN" w:bidi="ar"/>
        </w:rPr>
        <w:t>1.5 月末成本费用智能核算：分配辅助⽣产成本；结转制造费⽤；废品损失处理；案例应用 月末成本费用智能核算；</w:t>
      </w:r>
    </w:p>
    <w:p w14:paraId="75D7C558">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b w:val="0"/>
          <w:bCs w:val="0"/>
          <w:kern w:val="2"/>
          <w:sz w:val="21"/>
          <w:szCs w:val="21"/>
        </w:rPr>
      </w:pPr>
      <w:r>
        <w:rPr>
          <w:rFonts w:hint="eastAsia" w:ascii="宋体" w:hAnsi="宋体" w:eastAsia="宋体" w:cs="宋体"/>
          <w:b w:val="0"/>
          <w:bCs w:val="0"/>
          <w:kern w:val="2"/>
          <w:sz w:val="21"/>
          <w:szCs w:val="21"/>
          <w:lang w:val="en-US" w:eastAsia="zh-CN" w:bidi="ar"/>
        </w:rPr>
        <w:t>1.6 产品成本智能核算：在产品与完工产品的成本分配；产品成本智能核算方法；案例应用 品种法智能核算；案例应用 分批法智能核算；案例应用 分步法智能核算；</w:t>
      </w:r>
    </w:p>
    <w:p w14:paraId="7FE566DB">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b w:val="0"/>
          <w:bCs w:val="0"/>
          <w:kern w:val="2"/>
          <w:sz w:val="21"/>
          <w:szCs w:val="21"/>
        </w:rPr>
      </w:pPr>
      <w:r>
        <w:rPr>
          <w:rFonts w:hint="eastAsia" w:ascii="宋体" w:hAnsi="宋体" w:eastAsia="宋体" w:cs="宋体"/>
          <w:b w:val="0"/>
          <w:bCs w:val="0"/>
          <w:kern w:val="2"/>
          <w:sz w:val="21"/>
          <w:szCs w:val="21"/>
          <w:lang w:val="en-US" w:eastAsia="zh-CN" w:bidi="ar"/>
        </w:rPr>
        <w:t>1.7 成本报表智能分析：成本报表编制；成本报表分析；案例应用 成本报表智能分析；</w:t>
      </w:r>
    </w:p>
    <w:p w14:paraId="3F3E2347">
      <w:pPr>
        <w:keepNext w:val="0"/>
        <w:keepLines w:val="0"/>
        <w:widowControl w:val="0"/>
        <w:suppressLineNumbers w:val="0"/>
        <w:autoSpaceDE w:val="0"/>
        <w:autoSpaceDN/>
        <w:spacing w:before="0" w:beforeAutospacing="0" w:after="0" w:afterAutospacing="0" w:line="360" w:lineRule="auto"/>
        <w:ind w:left="0" w:leftChars="0" w:right="0" w:firstLine="0" w:firstLineChars="0"/>
        <w:jc w:val="both"/>
        <w:rPr>
          <w:rFonts w:hint="eastAsia" w:ascii="宋体" w:hAnsi="宋体" w:eastAsia="宋体" w:cs="宋体"/>
          <w:b w:val="0"/>
          <w:bCs w:val="0"/>
          <w:spacing w:val="-4"/>
          <w:kern w:val="2"/>
          <w:sz w:val="21"/>
          <w:szCs w:val="21"/>
        </w:rPr>
      </w:pPr>
      <w:r>
        <w:rPr>
          <w:rFonts w:hint="eastAsia" w:ascii="宋体" w:hAnsi="宋体" w:eastAsia="宋体" w:cs="宋体"/>
          <w:b w:val="0"/>
          <w:bCs w:val="0"/>
          <w:spacing w:val="-4"/>
          <w:kern w:val="2"/>
          <w:sz w:val="21"/>
          <w:szCs w:val="21"/>
          <w:lang w:val="en-US" w:eastAsia="zh-CN" w:bidi="ar"/>
        </w:rPr>
        <w:t>2. 智能成本管理</w:t>
      </w:r>
    </w:p>
    <w:p w14:paraId="4EC24709">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b w:val="0"/>
          <w:bCs w:val="0"/>
          <w:kern w:val="2"/>
          <w:sz w:val="21"/>
          <w:szCs w:val="21"/>
        </w:rPr>
      </w:pPr>
      <w:r>
        <w:rPr>
          <w:rFonts w:hint="eastAsia" w:ascii="宋体" w:hAnsi="宋体" w:eastAsia="宋体" w:cs="宋体"/>
          <w:b w:val="0"/>
          <w:bCs w:val="0"/>
          <w:kern w:val="2"/>
          <w:sz w:val="21"/>
          <w:szCs w:val="21"/>
          <w:lang w:val="en-US" w:eastAsia="zh-CN" w:bidi="ar"/>
        </w:rPr>
        <w:t>2.1 变动成本法： 成本性态分析；变动成本法应用；案例应用 变动成本法；</w:t>
      </w:r>
    </w:p>
    <w:p w14:paraId="4F6177E7">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b w:val="0"/>
          <w:bCs w:val="0"/>
          <w:kern w:val="2"/>
          <w:sz w:val="21"/>
          <w:szCs w:val="21"/>
        </w:rPr>
      </w:pPr>
      <w:r>
        <w:rPr>
          <w:rFonts w:hint="eastAsia" w:ascii="宋体" w:hAnsi="宋体" w:eastAsia="宋体" w:cs="宋体"/>
          <w:b w:val="0"/>
          <w:bCs w:val="0"/>
          <w:kern w:val="2"/>
          <w:sz w:val="21"/>
          <w:szCs w:val="21"/>
          <w:lang w:val="en-US" w:eastAsia="zh-CN" w:bidi="ar"/>
        </w:rPr>
        <w:t>2.2 标准成本法：制定标准成本； 标准成本差异；案例应用 标准成本法；</w:t>
      </w:r>
    </w:p>
    <w:p w14:paraId="4A25D311">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b w:val="0"/>
          <w:bCs w:val="0"/>
          <w:kern w:val="2"/>
          <w:sz w:val="21"/>
          <w:szCs w:val="21"/>
        </w:rPr>
      </w:pPr>
      <w:r>
        <w:rPr>
          <w:rFonts w:hint="eastAsia" w:ascii="宋体" w:hAnsi="宋体" w:eastAsia="宋体" w:cs="宋体"/>
          <w:b w:val="0"/>
          <w:bCs w:val="0"/>
          <w:kern w:val="2"/>
          <w:sz w:val="21"/>
          <w:szCs w:val="21"/>
          <w:lang w:val="en-US" w:eastAsia="zh-CN" w:bidi="ar"/>
        </w:rPr>
        <w:t>2.3 作业成本法： 作业成本法应用程序； 作业成本法分析；案例应用 作业成本法；</w:t>
      </w:r>
    </w:p>
    <w:p w14:paraId="351BBF3C">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b w:val="0"/>
          <w:bCs w:val="0"/>
          <w:kern w:val="2"/>
          <w:sz w:val="21"/>
          <w:szCs w:val="21"/>
        </w:rPr>
      </w:pPr>
      <w:r>
        <w:rPr>
          <w:rFonts w:hint="eastAsia" w:ascii="宋体" w:hAnsi="宋体" w:eastAsia="宋体" w:cs="宋体"/>
          <w:b w:val="0"/>
          <w:bCs w:val="0"/>
          <w:kern w:val="2"/>
          <w:sz w:val="21"/>
          <w:szCs w:val="21"/>
          <w:lang w:val="en-US" w:eastAsia="zh-CN" w:bidi="ar"/>
        </w:rPr>
        <w:t>2.4 目标成本法：目标成本法应用程序；目标成本计算；案例应用 目标成本法；</w:t>
      </w:r>
    </w:p>
    <w:p w14:paraId="061145A1">
      <w:pPr>
        <w:keepNext w:val="0"/>
        <w:keepLines w:val="0"/>
        <w:widowControl w:val="0"/>
        <w:suppressLineNumbers w:val="0"/>
        <w:autoSpaceDE w:val="0"/>
        <w:autoSpaceDN/>
        <w:spacing w:before="0" w:beforeAutospacing="0" w:after="0" w:afterAutospacing="0" w:line="360" w:lineRule="auto"/>
        <w:ind w:left="0" w:leftChars="0" w:right="0" w:firstLine="0" w:firstLineChars="0"/>
        <w:jc w:val="both"/>
        <w:rPr>
          <w:rFonts w:hint="eastAsia" w:ascii="宋体" w:hAnsi="宋体" w:eastAsia="宋体" w:cs="宋体"/>
          <w:b w:val="0"/>
          <w:bCs w:val="0"/>
          <w:spacing w:val="-4"/>
          <w:kern w:val="2"/>
          <w:sz w:val="21"/>
          <w:szCs w:val="21"/>
        </w:rPr>
      </w:pPr>
      <w:r>
        <w:rPr>
          <w:rFonts w:hint="eastAsia" w:ascii="宋体" w:hAnsi="宋体" w:eastAsia="宋体" w:cs="宋体"/>
          <w:b w:val="0"/>
          <w:bCs w:val="0"/>
          <w:spacing w:val="-4"/>
          <w:kern w:val="2"/>
          <w:sz w:val="21"/>
          <w:szCs w:val="21"/>
          <w:lang w:val="en-US" w:eastAsia="zh-CN" w:bidi="ar"/>
        </w:rPr>
        <w:t>3. 综合案例演练</w:t>
      </w:r>
    </w:p>
    <w:p w14:paraId="16B288ED">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 综合案例演练</w:t>
      </w:r>
    </w:p>
    <w:p w14:paraId="456113A0">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3.1 综合案例演练（一）品种法</w:t>
      </w:r>
    </w:p>
    <w:p w14:paraId="4EBB6CA0">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3.1.1 案例以多品类产品制造的生产型企业为背景，模拟单步骤生产型企业一个会计周期的生产数据，以任务为驱动，通过相关表格计算编制、分录填写等实训练习形式，完成品种法下完整成本核算实操。</w:t>
      </w:r>
    </w:p>
    <w:p w14:paraId="0D28DC08">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3.1.2 实训练习内容包含但不限于：材料领用业务处理、共同耗用材料按定额耗用量比例进行分配、人工费用分配核算、外购动力采购与分配、固定资产折旧计提、采用交互分配法完成辅助生产成本分配、各产品生产成本归集计算、完工产品成本结转等。</w:t>
      </w:r>
    </w:p>
    <w:p w14:paraId="6A89E242">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3.2 综合案例演练（二）综合结转分步法</w:t>
      </w:r>
    </w:p>
    <w:p w14:paraId="349DD2B7">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3.2.1 案例以多品类产品制造的生产型企业为背景，模拟多步骤生产型企业一个会计周期的生产数据，以任务为驱动，通过实训练习形式，完成实际成本综合结转分步法全流程成本核算业务实操。</w:t>
      </w:r>
    </w:p>
    <w:p w14:paraId="4A55D773">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3.2.2 实训练习内容包含但不限于：各生产车间材料领用处理、材料领用汇总及账务处理、日常费用报销核算、职工薪酬业务处理、固定资产折旧计提、辅助生产成本明细账编制、采用顺序分配法完成辅助生产费用分配结转、制造费用分配结转、生产成本明细账编制、半成品及产成品成本计算、完工产品成本结转、产品成本还原等。</w:t>
      </w:r>
    </w:p>
    <w:p w14:paraId="74ECF044">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3.3 综合案例演练（三）综合结转分步法</w:t>
      </w:r>
    </w:p>
    <w:p w14:paraId="6BF8DCC9">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3.3.1 案例以多品类产品制造的生产型企业为背景，模拟多步骤生产型企业一个会计周期的生产数据，以任务为驱动，通过实训练习形式，完成综合结转分步法成本核算及成本分析全流程实操。</w:t>
      </w:r>
    </w:p>
    <w:p w14:paraId="4693D480">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3.3.2 实训练习内容包含但不限于：日常费用报销核算、材料采购业务、差旅费报销处理、材料领用核算、培训费归集与账务处理、福利费归集与账务处理、职工薪酬相关业务、固定资产折旧计提、无形资产摊销、采用直接分配法完成辅助生产成本分配及账务处理、制造费用分配及账务处理、半成品入库与领用账务处理、半成品与产成品成本计算、产品成本还原、产品成本环比分析等。</w:t>
      </w:r>
    </w:p>
    <w:p w14:paraId="65484722">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3.4 综合案例演练（四）分项结转分步法</w:t>
      </w:r>
    </w:p>
    <w:p w14:paraId="03E4EBF9">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3.4.1 案例以多品类产品制造的生产型企业为背景，模拟多步骤生产型企业一个会计周期的生产数据，以任务为驱动，通过实训练习形式，完成分项结转分步法成本核算业务全流程实操。</w:t>
      </w:r>
    </w:p>
    <w:p w14:paraId="6FB75E5A">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3.4.2 实训练习内容包含但不限于：材料采购、材料领用、固定资产折旧计提、人工费用计提、采用顺序分配法完成辅助生产成本分配及账务处理、制造费用分配及账务处理、半成品入库与领用账务处理、半成品与产成品成本计算等。</w:t>
      </w:r>
    </w:p>
    <w:p w14:paraId="4DD351B9">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3.5 综合案例演练（五）平行结转分步法</w:t>
      </w:r>
    </w:p>
    <w:p w14:paraId="1C75EF7A">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3.5.1 案例以多品类产品制造的生产型企业为背景，模拟多步骤生产型企业一个会计周期的生产数据，以任务为驱动，通过实训练习形式，完成平行结转分步法成本核算，以及运用因素分析法开展成本管理分析全流程实操。</w:t>
      </w:r>
    </w:p>
    <w:p w14:paraId="12FBC176">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3.5.2 实训练习内容包含但不限于：材料采购、材料成本差异计算、材料入库业务、差旅费报销、材料领用、日常费用报销支付、职工薪酬业务处理、固定资产折旧计提、无形资产摊销、采用交互分配法完成辅助生产成本分配及账务处理、制造费用分配及账务处理、运用约当产量法完成完工产品成本计算、产品入库账务处理、因素分析法计算与成本分析等。</w:t>
      </w:r>
    </w:p>
    <w:p w14:paraId="1F7B7E3D">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3.6 综合案例演练（六）平行结转分步法</w:t>
      </w:r>
    </w:p>
    <w:p w14:paraId="08518090">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3.6.1 案例以多品类产品制造的生产型企业为背景，模拟多步骤生产型企业一个会计周期的生产数据，以任务为驱动，通过实训练习形式，完成平行结转分步法成本核算业务全流程实操。</w:t>
      </w:r>
    </w:p>
    <w:p w14:paraId="68F20D03">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3.6.2 实训练习内容包含但不限于：材料采购、材料领用、固定资产折旧计提、人工费用计提、辅助生产成本分配及账务处理、制造费用分配及账务处理、废品损失结转、完工产品成本计算等。</w:t>
      </w:r>
    </w:p>
    <w:p w14:paraId="463CD226">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3.7 综合案例演练（七）分批法</w:t>
      </w:r>
    </w:p>
    <w:p w14:paraId="6F3037A2">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3.7.1 案例以多品类产品制造的生产型企业为背景，模拟装配式生产型企业一个会计周期的生产数据，以任务为驱动，通过实训练习形式，完成分批法成本核算全业务流程实操。</w:t>
      </w:r>
    </w:p>
    <w:p w14:paraId="0EDE4CA8">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3.7.2 实训练习内容包含但不限于：材料领用、材料成本差异计算、日常费用报销核算、职工薪酬相关业务、辅助生产成本明细账编制、采用顺序分配法完成辅助生产费用分配结转、制造费用分配结转、产品生产成本明细账编制、完工产品成本结转、完工产品成本汇总等。</w:t>
      </w:r>
    </w:p>
    <w:p w14:paraId="0B0E5359">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3.8 综合案例演练（八）分批法</w:t>
      </w:r>
    </w:p>
    <w:p w14:paraId="25992715">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3.8.1 案例以多品类产品制造的生产型企业为背景，模拟装配式生产型企业一个会计周期的生产数据，以任务为驱动，通过实训练习形式，完成分批法成本核算业务全流程实操。</w:t>
      </w:r>
    </w:p>
    <w:p w14:paraId="29A55710">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3.8.2 实训练习内容包含但不限于：各类费用账务处理、外购动力费用结转、材料领用、共同耗用材料费用分配、人工费用分配结转、固定资产折旧计提、辅助生产成本分配及账务处理、制造费用分配及账务处理、运用约当产量法完成完工产品成本计算、产品入库账务处理等。</w:t>
      </w:r>
    </w:p>
    <w:p w14:paraId="1A9E2A86">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3.9 综合案例智能化演练</w:t>
      </w:r>
    </w:p>
    <w:p w14:paraId="48A48129">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3.9.1 案例以多品类多层级产品制造的生产型企业为背景，产品设置大类、子类多级产品结构。模拟生产型企业一个会计周期的生产经营数据，搭建影像管理、业务票据建模、费用归集建模、成本核算建模，以任务为驱动，从业务端生产计划出发，串联成本核算与成本管理完整业务链路。同一企业场景下综合运用品种法、分批法、分步法开展成本核算，同时引入标准成本法、作业成本法、目标成本法完成成本管理实训。</w:t>
      </w:r>
    </w:p>
    <w:p w14:paraId="1F2ABFCB">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3.9.2 企业背景信息包含但不限于企业概况（工商注册信息、主要会计政策、主要税收政策）、产品信息（产品简介、产品售价）、物料信息（主要物料概况、BOM清单信息）、生产工艺资料、组织人员信息（组织架构、薪酬标准、财务岗位分工）、场地资产信息（生产厂房、生产车间、仓储库房基础资料）、资产台账信息（固定资产明细、无形资产明细）、废品处置规则（废品分类、废品处置流程）、标准成本法基础资料（标准成本规则、直接材料标准、标准人工工资率、制造费用标准分配率）、作业成本法基础资料（作业成本核算规则、作业成本库设置）、目标成本法基础资料（目标成本管理规则、跨部门工作机制、目标利润测算规则）等。</w:t>
      </w:r>
    </w:p>
    <w:p w14:paraId="14904FD3">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3.9.3 产品成本核算内容包含但不限于：依托影像管理结合业务票据建模，实现票据影像识别、影像数据审核存储、影像业务凭证智能生成；业务端结合业务票据建模，实现物料、半成品、产成品的入库、领料业务及对应凭证智能生成；费用归集建模，自动归集职工薪酬、固定资产折旧、无形资产摊销数据，配置当期与跨期费用参数实现智能计算，完成凭证模板配置与凭证智能生成；成本核算建模，通过参数配置自动获取共同耗用材料、燃料及动力、直接人工、辅助生产成本、制造费用、废品损失等待分配数据，适配品种法、分批法、平行结转分步法、分项结转分步法等各类核算逻辑，自动生成分配计算表，完成参数配置与凭证智能生成；报表中心，基于成本核算结果，按成本项目输出多类产品成本报表、单位成本报表，完成实际成本与计划成本的差异分析。</w:t>
      </w:r>
    </w:p>
    <w:p w14:paraId="761A0FB2">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3.9.4 产品成本管理内容包含但不限于：标准成本法，提取业务模块数据编制直接材料标准成本表、直接材料实际成本表，完善标准人工工时，完成标准与实际人工成本计算，完善制造费用标准资料并核算实际制造费用，开展直接材料、直接人工、制造费用多维度成本差异分析；作业成本法，计算作业成本分配率，编制产品作业成本计算表，对比传统核算模式与作业成本法下制造费用核算差异；目标成本法，测算新产品目标成本，借助价值工程法实现产品直接材料成本管控。</w:t>
      </w:r>
      <w:r>
        <w:rPr>
          <w:rFonts w:hint="eastAsia" w:ascii="宋体" w:hAnsi="宋体" w:eastAsia="宋体" w:cs="宋体"/>
          <w:b w:val="0"/>
          <w:bCs w:val="0"/>
          <w:kern w:val="2"/>
          <w:sz w:val="21"/>
          <w:szCs w:val="21"/>
          <w:lang w:val="en-US" w:eastAsia="zh-CN" w:bidi="ar"/>
        </w:rPr>
        <w:t>4. 教学资源：PPT（不少于36个）；课堂示例（不少于73个）；微课（不少于3个）；慕课（不少于13个）；单选题（不少于60题）；多选题（不少于60题）；判断题（不少于60题）；案例题（不少于36个）。</w:t>
      </w:r>
    </w:p>
    <w:p w14:paraId="47BECD3C">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b/>
          <w:bCs/>
          <w:kern w:val="2"/>
          <w:sz w:val="21"/>
          <w:szCs w:val="21"/>
        </w:rPr>
      </w:pPr>
      <w:r>
        <w:rPr>
          <w:rFonts w:hint="eastAsia" w:ascii="宋体" w:hAnsi="宋体" w:eastAsia="宋体" w:cs="宋体"/>
          <w:b/>
          <w:bCs/>
          <w:kern w:val="2"/>
          <w:sz w:val="21"/>
          <w:szCs w:val="21"/>
          <w:lang w:val="en-US" w:eastAsia="zh-CN" w:bidi="ar"/>
        </w:rPr>
        <w:t>（三）AIGC智教平台模块</w:t>
      </w:r>
    </w:p>
    <w:p w14:paraId="45D62C85">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1.需要提供线上智教云平台，无需安装，平台至少涵盖智能问答、课程设计、教学大纲、教案设计、智能出题、PPT生成、财务分析等模块。</w:t>
      </w:r>
    </w:p>
    <w:p w14:paraId="79600C83">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2.课程思政资源库，划分为思政案例库、思政专题库和思政元素库等模块。</w:t>
      </w:r>
    </w:p>
    <w:p w14:paraId="36B9DBD7">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2.1思政案例库：涵盖爱岗敬业、诚实守信、廉洁自律、法治精神等≥10个核心主题，收录不少于100个生动案例。</w:t>
      </w:r>
    </w:p>
    <w:p w14:paraId="7F5630A9">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2.2思政专题：包含“向总书记学习”“红色历史”“时代楷模”“科技强国”等不少于50</w:t>
      </w:r>
    </w:p>
    <w:p w14:paraId="3E52C7C7">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个专题案例。</w:t>
      </w:r>
    </w:p>
    <w:p w14:paraId="5ADD2C4C">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2.3思政元素库：涵盖了马克思主义基本观点与方法、社会主义核心价值观、乡村振兴等不少于250个元素案例。</w:t>
      </w:r>
    </w:p>
    <w:p w14:paraId="7D859AB3">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b/>
          <w:bCs/>
          <w:kern w:val="2"/>
          <w:sz w:val="21"/>
          <w:szCs w:val="21"/>
          <w:lang w:val="en-US" w:eastAsia="zh-CN" w:bidi="ar"/>
        </w:rPr>
        <w:t>（四）线上共享记账平台</w:t>
      </w:r>
    </w:p>
    <w:p w14:paraId="62882162">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1. 智能日记账：</w:t>
      </w:r>
    </w:p>
    <w:p w14:paraId="525A07E0">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1.1 日记账能够支持电脑、手机使用，手机上使用时按手机屏幕比例显示清晰，支持权限设置，分登记权限、修改权限、删除权限、对账权限等；可设置账户管理人员，只有具备账户管理权限的人员才能查询，并且管理此账户中的收支记录；</w:t>
      </w:r>
    </w:p>
    <w:p w14:paraId="527DE2DB">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1.2 具备智能记账功能，录入一段文字就可智能分析出交易日期、交易金额、收支科目、对方单位、部门、经办人，并且根据部门分析收支科目为销售费用、管理费用等；</w:t>
      </w:r>
    </w:p>
    <w:p w14:paraId="5513E959">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1.3 记账时支持选择本地图片、QQ截图并直接粘贴在界面上、手机微信扫码无缝上传三种方式将原始票据附在账目上，并且可进行放大、缩小、旋转、拖拽显示；</w:t>
      </w:r>
    </w:p>
    <w:p w14:paraId="79EAECB1">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1.4 能生成月报表，按柱状图显示13个月收入、支出、利润、账面余额；可同时选取5个收支科目进行13个月对比，以曲线图方式展示数据的变化趋势及相互作用关系；能将月报表导出成Excel文件格式；</w:t>
      </w:r>
    </w:p>
    <w:p w14:paraId="375B9024">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1.5 账面总览：展示总金额以及银行账户的余额并按照月份进行图表的呈现。根据需要进行本月收入小计、本月支出小计、本月收支差、本月应收余额、本月应付余额、全部应收余额、全部应付余额以及本月支出TOP5等项目的统计分析；</w:t>
      </w:r>
    </w:p>
    <w:p w14:paraId="694E86B8">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 应收应付：</w:t>
      </w:r>
    </w:p>
    <w:p w14:paraId="7E2C4C16">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2.1 支持收款核销或付款核销，核销过程中允许抹零扣费，即抹掉零头、扣除手续费、其他扣费，支持两种核销方式，直接录入核销金额或者从已有的收支账目中选取进行核销；</w:t>
      </w:r>
    </w:p>
    <w:p w14:paraId="5B5025A8">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2.2登记应收应付时支持选择本地图片、QQ截图并直接粘贴在界面上、手机微信扫码无缝上传三种方式将原始票据附在日记账上；</w:t>
      </w:r>
    </w:p>
    <w:p w14:paraId="6A2FE585">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2.3 支持合并收款或合并付款，多笔应收应付可合并，合并后还可跟未合并的记录进行多次合并，应收应付金额自动根据被合并的记录计算，合并后的记录可取消合并；</w:t>
      </w:r>
    </w:p>
    <w:p w14:paraId="0158C38E">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3. 物品管理：</w:t>
      </w:r>
    </w:p>
    <w:p w14:paraId="27343059">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3.1 原材料、产成品、礼品管理：对企业的原材料、产成品、礼品进行入库、领用、库存等方面的管理，以及查看领用流水、原材料、产成品、礼品报表等功能，帮助掌握公司的原材料、产成品及礼品的实际情况；（需提供第三方检测机构出具的检测报告扫描件予以佐证，测试报告须完整体现以上功能参数，未能完整体现或未提供不得分）</w:t>
      </w:r>
    </w:p>
    <w:p w14:paraId="0468546A">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3.2 支持打印送货单，送货单可根据需要设置是否显示单价、金额，在送货单上打印二维码，通过微信扫一扫查看电子送货单；</w:t>
      </w:r>
    </w:p>
    <w:p w14:paraId="1F8751DC">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3.3 物品统计报表：按月份统计并列表显示出每一种物品的月初余额、本月入库、本月出库、月末库存余额；支持用曲线图表显示出某一种物品在多个月内入库、出库的曲线；</w:t>
      </w:r>
    </w:p>
    <w:p w14:paraId="03DBBBB5">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4. 费用报销：</w:t>
      </w:r>
    </w:p>
    <w:p w14:paraId="2E361910">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4.1 费用报销支持自定义报销类别，如差旅报销、日常费用报销等；填写报销单时允许自己为自己填写报销单，也允许为他们填写报销单；一笔报销单允许多行明细，如机票费、住宿费等；</w:t>
      </w:r>
    </w:p>
    <w:p w14:paraId="5F34BA83">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4.2 填写报销单时支持选择本地图片、QQ截图并直接粘贴在界面上、手机微信扫码无缝上传三种方式附上原始票据附件，最多可附20张原始票据；</w:t>
      </w:r>
    </w:p>
    <w:p w14:paraId="755A21DC">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4.3 支持费用报销审批，可一次选择多级审批，也可一次选择一级，等这一级审批通过后填报人再选择一级进行审批的方式，最后一级审批完成后可设置为自动交出纳付款；审批过程中，可审批通过、审批不通过，退回，或者提交人可撤回；</w:t>
      </w:r>
    </w:p>
    <w:p w14:paraId="7C1777A9">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5. 项目（合同）管理：</w:t>
      </w:r>
    </w:p>
    <w:p w14:paraId="245AC985">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5.1 项目管理列表显示项目金额、已收金额、应收余额、已付金额、应付余额、利润；</w:t>
      </w:r>
    </w:p>
    <w:p w14:paraId="767ABF3D">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5.2 项目详情显示与本项目（合同）有关的全部收支记录，有关的全部物品入库出库记录，有关的全部应收应付记录；</w:t>
      </w:r>
    </w:p>
    <w:p w14:paraId="34D7780B">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5.3 项目（合同）利润计算方式，可设置为按已收金额减去已付金额、应收金额减去应付金额、应收金额－已付金额、已收金额－应付金额或者应收金额-应付金额-日记账支出金额等不少于五种方式；</w:t>
      </w:r>
    </w:p>
    <w:p w14:paraId="10AE56CB">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6. 工资管理：</w:t>
      </w:r>
    </w:p>
    <w:p w14:paraId="1CD617A1">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6.1 工资管理：支持添加、查询工资表。以工资模板的形式对工资表进行工资项目的调整。按年或者部门等方式进行工资的统计分析。工资表可以逐月进行调整、复核以及工资条发放以及工资条的导出备份，同时发放工资条时还可以以短信的方式进行通知；</w:t>
      </w:r>
    </w:p>
    <w:p w14:paraId="6A78C770">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6.2 支持复核工资表，复核时可选择已有工资表进行对比，高亮显示同一员工不同之处，便于领导发现本月工资表与往月不一样之处；</w:t>
      </w:r>
    </w:p>
    <w:p w14:paraId="446D6D12">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6.3 支持工资表记账，可将选定的员工工资记录合并为一笔产生一笔日记账，也可批量逐笔自动生成相同数量的日记账记录，支持从已有日记账中选取记录关联到工资表；</w:t>
      </w:r>
    </w:p>
    <w:p w14:paraId="4B057B4B">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6.4 支持将工资表导出为Excel文件，并且可选择是否每一行打印表头，方便打印成工资条；</w:t>
      </w:r>
    </w:p>
    <w:p w14:paraId="570860CB">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7. 其他功能：</w:t>
      </w:r>
    </w:p>
    <w:p w14:paraId="1175D262">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7.1 客户管理：支持客户的添加、收回、分配以及查询功能，并且支持excel的形式进行客户的导入与导出功能；</w:t>
      </w:r>
    </w:p>
    <w:p w14:paraId="2AEDC569">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7.2 项目管理：包括项目开始结束日期，项目类别、项目金额、应付金额、应收金额，自动关联日记账数据，自动计算出已付金额、应付余额或已收金额、应收余额；</w:t>
      </w:r>
    </w:p>
    <w:p w14:paraId="0D751A86">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7.3 工作周记：按照工作计划以及工作日记的形式进行记录，同时可以提供附加图片功能。管理员可以对每个用户进行权限管辖，以控制该用户查看周记的范围；</w:t>
      </w:r>
    </w:p>
    <w:p w14:paraId="28520AE5">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7.4 外部报表功能：提供上传税务账报表功能，可接受多种格式excel税务账报表，包括资产负债表，利润表、科目余额表等，上传的表格可设置分栏显示，包括分栏列头，方便在移动设备上查看报表；</w:t>
      </w:r>
    </w:p>
    <w:p w14:paraId="62BCE589">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7.5 发票查重：提供发票查重支持两种方式，可通过手机扫一扫扫描电子发票的二维码实现查重，也可通过手工输入发票号码实现查重。</w:t>
      </w:r>
    </w:p>
    <w:p w14:paraId="5BB01E8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BEF5156"/>
    <w:rsid w:val="36806233"/>
    <w:rsid w:val="478552C1"/>
    <w:rsid w:val="48914942"/>
    <w:rsid w:val="6D336F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keepNext/>
      <w:keepLines/>
      <w:widowControl w:val="0"/>
      <w:suppressLineNumbers w:val="0"/>
      <w:spacing w:before="260" w:beforeLines="0" w:beforeAutospacing="0" w:after="260" w:afterLines="0" w:afterAutospacing="0" w:line="412" w:lineRule="auto"/>
      <w:jc w:val="both"/>
      <w:outlineLvl w:val="2"/>
    </w:pPr>
    <w:rPr>
      <w:rFonts w:hint="default" w:ascii="Calibri" w:hAnsi="Calibri" w:eastAsia="宋体" w:cs="Times New Roman"/>
      <w:b/>
      <w:bCs/>
      <w:kern w:val="2"/>
      <w:sz w:val="32"/>
      <w:szCs w:val="32"/>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keepNext w:val="0"/>
      <w:keepLines w:val="0"/>
      <w:widowControl w:val="0"/>
      <w:suppressLineNumbers w:val="0"/>
      <w:spacing w:after="120" w:afterLines="0" w:afterAutospacing="0" w:line="360" w:lineRule="auto"/>
      <w:jc w:val="both"/>
    </w:pPr>
    <w:rPr>
      <w:rFonts w:hint="default" w:ascii="Calibri" w:hAnsi="Calibri" w:eastAsia="宋体" w:cs="Times New Roman"/>
      <w:kern w:val="2"/>
      <w:sz w:val="21"/>
      <w:szCs w:val="21"/>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037a72ec-eba0-41cb-961f-a1d3064683d1</errorID>
      <errorWord>附</errorWord>
      <group>L1_Word</group>
      <groupName>字词问题</groupName>
      <ability>L2_Typo</ability>
      <abilityName>字词错误</abilityName>
      <candidateList>
        <item>附件</item>
      </candidateList>
      <explain/>
      <paraID>5F34BA83</paraID>
      <start>53</start>
      <end>55</end>
      <status>modified</status>
      <modifiedWord>附件</modifiedWord>
      <trackRevisions>false</trackRevisions>
    </reviewItem>
  </reviewItems>
  <config/>
</contractReview>
</file>

<file path=customXml/itemProps1.xml><?xml version="1.0" encoding="utf-8"?>
<ds:datastoreItem xmlns:ds="http://schemas.openxmlformats.org/officeDocument/2006/customXml" ds:itemID="{8ee16540-ec55-429c-8328-3f1552225222}">
  <ds:schemaRefs/>
</ds:datastoreItem>
</file>

<file path=docProps/app.xml><?xml version="1.0" encoding="utf-8"?>
<Properties xmlns="http://schemas.openxmlformats.org/officeDocument/2006/extended-properties" xmlns:vt="http://schemas.openxmlformats.org/officeDocument/2006/docPropsVTypes">
  <Template>Normal.dotm</Template>
  <Pages>13</Pages>
  <Words>11205</Words>
  <Characters>11779</Characters>
  <Lines>0</Lines>
  <Paragraphs>0</Paragraphs>
  <TotalTime>18</TotalTime>
  <ScaleCrop>false</ScaleCrop>
  <LinksUpToDate>false</LinksUpToDate>
  <CharactersWithSpaces>11960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2026-09-04T07:31:00Z</dcterms:created>
  <dc:creator>admin</dc:creator>
  <cp:lastModifiedBy>cxy</cp:lastModifiedBy>
  <dcterms:modified xsi:type="dcterms:W3CDTF">2026-10-16T02:53:11Z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eyJoZGlkIjoiYjBiOTNmZGNkOWMzM2JiMjUxOWQ0ZTcyNmIxOTQ5ZDgiLCJ1c2VySWQiOiIyNTU0MjU0MTcifQ==</vt:lpwstr>
  </property>
  <property fmtid="{D5CDD505-2E9C-101B-9397-08002B2CF9AE}" pid="4" name="ICV">
    <vt:lpwstr>620E5AC48DD3428FBEEC9F6276BB3B37_13</vt:lpwstr>
  </property>
</Properties>
</file>